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 xml:space="preserve">Salida del </w:t>
      </w:r>
      <w:r w:rsidR="00904B8F">
        <w:rPr>
          <w:b/>
          <w:i/>
          <w:color w:val="76923C" w:themeColor="accent3" w:themeShade="BF"/>
          <w:sz w:val="24"/>
        </w:rPr>
        <w:t>07</w:t>
      </w:r>
      <w:r w:rsidR="00FB1097">
        <w:rPr>
          <w:b/>
          <w:i/>
          <w:color w:val="76923C" w:themeColor="accent3" w:themeShade="BF"/>
          <w:sz w:val="24"/>
        </w:rPr>
        <w:t xml:space="preserve"> </w:t>
      </w:r>
      <w:r>
        <w:rPr>
          <w:b/>
          <w:i/>
          <w:color w:val="76923C" w:themeColor="accent3" w:themeShade="BF"/>
          <w:sz w:val="24"/>
        </w:rPr>
        <w:t xml:space="preserve">al </w:t>
      </w:r>
      <w:r w:rsidR="00904B8F">
        <w:rPr>
          <w:b/>
          <w:i/>
          <w:color w:val="76923C" w:themeColor="accent3" w:themeShade="BF"/>
          <w:sz w:val="24"/>
        </w:rPr>
        <w:t>28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904B8F">
        <w:rPr>
          <w:b/>
          <w:i/>
          <w:color w:val="76923C" w:themeColor="accent3" w:themeShade="BF"/>
          <w:sz w:val="24"/>
        </w:rPr>
        <w:t>septiembre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2C5F34" w:rsidRPr="005E6858" w:rsidRDefault="002C5F3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Crucero por el 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</w:t>
      </w:r>
      <w:r w:rsidR="00477438">
        <w:rPr>
          <w:sz w:val="23"/>
          <w:szCs w:val="23"/>
          <w:lang w:val="pt-PT"/>
        </w:rPr>
        <w:t>cia con cobertura para la zona S</w:t>
      </w:r>
      <w:r w:rsidRPr="005E6858">
        <w:rPr>
          <w:sz w:val="23"/>
          <w:szCs w:val="23"/>
          <w:lang w:val="pt-PT"/>
        </w:rPr>
        <w:t>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477438" w:rsidRPr="005E6858" w:rsidRDefault="00477438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890" w:type="pct"/>
        <w:jc w:val="center"/>
        <w:tblCellMar>
          <w:left w:w="107" w:type="dxa"/>
        </w:tblCellMar>
        <w:tblLook w:val="04A0"/>
      </w:tblPr>
      <w:tblGrid>
        <w:gridCol w:w="1474"/>
        <w:gridCol w:w="1368"/>
        <w:gridCol w:w="1650"/>
        <w:gridCol w:w="2732"/>
      </w:tblGrid>
      <w:tr w:rsidR="00EC72C4" w:rsidRPr="005E6858" w:rsidTr="00477438">
        <w:trPr>
          <w:cnfStyle w:val="100000000000"/>
          <w:trHeight w:val="327"/>
          <w:jc w:val="center"/>
        </w:trPr>
        <w:tc>
          <w:tcPr>
            <w:cnfStyle w:val="001000000000"/>
            <w:tcW w:w="1474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477438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477438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732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477438">
        <w:trPr>
          <w:cnfStyle w:val="000000100000"/>
          <w:trHeight w:val="559"/>
          <w:jc w:val="center"/>
        </w:trPr>
        <w:tc>
          <w:tcPr>
            <w:cnfStyle w:val="001000000000"/>
            <w:tcW w:w="1474" w:type="dxa"/>
            <w:shd w:val="clear" w:color="auto" w:fill="auto"/>
            <w:vAlign w:val="center"/>
          </w:tcPr>
          <w:p w:rsidR="00EC72C4" w:rsidRPr="005E6858" w:rsidRDefault="00904B8F" w:rsidP="002C5F34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47743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477438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477438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C72C4" w:rsidRPr="005E6858" w:rsidRDefault="00BB2714" w:rsidP="00904B8F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  <w:r w:rsidR="00904B8F">
              <w:rPr>
                <w:rFonts w:eastAsia="Times New Roman" w:cs="Calibri"/>
                <w:b/>
                <w:sz w:val="23"/>
                <w:szCs w:val="23"/>
                <w:lang w:eastAsia="es-PE"/>
              </w:rPr>
              <w:t>7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 w:rsidR="00904B8F">
              <w:rPr>
                <w:rFonts w:eastAsia="Times New Roman" w:cs="Calibri"/>
                <w:b/>
                <w:sz w:val="23"/>
                <w:szCs w:val="23"/>
                <w:lang w:eastAsia="es-PE"/>
              </w:rPr>
              <w:t>8</w:t>
            </w: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 w:rsidR="00904B8F">
              <w:rPr>
                <w:rFonts w:eastAsia="Times New Roman" w:cs="Calibri"/>
                <w:b/>
                <w:sz w:val="23"/>
                <w:szCs w:val="23"/>
                <w:lang w:eastAsia="es-PE"/>
              </w:rPr>
              <w:t>septiembre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477438" w:rsidRPr="005E6858" w:rsidRDefault="00477438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307" w:type="pct"/>
        <w:jc w:val="center"/>
        <w:tblLook w:val="04A0"/>
      </w:tblPr>
      <w:tblGrid>
        <w:gridCol w:w="1425"/>
        <w:gridCol w:w="1210"/>
        <w:gridCol w:w="1029"/>
        <w:gridCol w:w="1065"/>
        <w:gridCol w:w="1065"/>
        <w:gridCol w:w="908"/>
        <w:gridCol w:w="1063"/>
        <w:gridCol w:w="234"/>
      </w:tblGrid>
      <w:tr w:rsidR="00EC72C4" w:rsidRPr="005E6858" w:rsidTr="00477438">
        <w:trPr>
          <w:cnfStyle w:val="100000000000"/>
          <w:trHeight w:val="491"/>
          <w:jc w:val="center"/>
        </w:trPr>
        <w:tc>
          <w:tcPr>
            <w:cnfStyle w:val="001000000000"/>
            <w:tcW w:w="1437" w:type="dxa"/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050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307" w:type="dxa"/>
            <w:gridSpan w:val="2"/>
            <w:vAlign w:val="center"/>
          </w:tcPr>
          <w:p w:rsidR="00EC72C4" w:rsidRPr="005E6858" w:rsidRDefault="00EC72C4" w:rsidP="002C5F34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477438">
        <w:trPr>
          <w:cnfStyle w:val="000000100000"/>
          <w:trHeight w:val="399"/>
          <w:jc w:val="center"/>
        </w:trPr>
        <w:tc>
          <w:tcPr>
            <w:cnfStyle w:val="001000000000"/>
            <w:tcW w:w="1437" w:type="dxa"/>
            <w:vMerge w:val="restart"/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050" w:type="dxa"/>
            <w:vAlign w:val="center"/>
          </w:tcPr>
          <w:p w:rsidR="00EC72C4" w:rsidRPr="005E6858" w:rsidRDefault="00904B8F" w:rsidP="00FB1097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07 Sep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2C5F34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477438">
        <w:trPr>
          <w:trHeight w:val="404"/>
          <w:jc w:val="center"/>
        </w:trPr>
        <w:tc>
          <w:tcPr>
            <w:cnfStyle w:val="001000000000"/>
            <w:tcW w:w="1437" w:type="dxa"/>
            <w:vMerge/>
            <w:vAlign w:val="center"/>
          </w:tcPr>
          <w:p w:rsidR="00EC72C4" w:rsidRPr="005E6858" w:rsidRDefault="00EC72C4" w:rsidP="002C5F34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48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050" w:type="dxa"/>
            <w:vAlign w:val="center"/>
          </w:tcPr>
          <w:p w:rsidR="00EC72C4" w:rsidRPr="005E6858" w:rsidRDefault="00904B8F" w:rsidP="00904B8F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28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2C5F34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477438" w:rsidRDefault="00477438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94631C" w:rsidRPr="00125359" w:rsidRDefault="0094631C" w:rsidP="0094631C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125359">
        <w:rPr>
          <w:rFonts w:cs="Calibri"/>
          <w:b/>
          <w:bCs/>
          <w:sz w:val="23"/>
          <w:szCs w:val="23"/>
          <w:u w:val="single"/>
        </w:rPr>
        <w:lastRenderedPageBreak/>
        <w:t>PAQUETE ESPECIAL:</w:t>
      </w:r>
    </w:p>
    <w:p w:rsidR="0094631C" w:rsidRPr="00125359" w:rsidRDefault="0094631C" w:rsidP="0094631C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94631C" w:rsidRPr="00125359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94631C" w:rsidRPr="00125359" w:rsidRDefault="0094631C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94631C" w:rsidRPr="00125359" w:rsidRDefault="0094631C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94631C" w:rsidRPr="00125359" w:rsidRDefault="0094631C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 w:rsidRPr="00125359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94631C" w:rsidRPr="00125359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94631C" w:rsidRPr="00125359" w:rsidRDefault="0094631C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4631C" w:rsidRPr="00125359" w:rsidRDefault="0094631C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125359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94631C" w:rsidRDefault="0094631C" w:rsidP="00BA24A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p w:rsidR="002157E8" w:rsidRDefault="002157E8" w:rsidP="002157E8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t>PAQUETE WAMOS PLUS precio por persona:</w:t>
      </w:r>
    </w:p>
    <w:p w:rsidR="002157E8" w:rsidRDefault="002157E8" w:rsidP="002157E8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5127" w:type="pct"/>
        <w:jc w:val="center"/>
        <w:tblCellMar>
          <w:left w:w="107" w:type="dxa"/>
        </w:tblCellMar>
        <w:tblLook w:val="04A0"/>
      </w:tblPr>
      <w:tblGrid>
        <w:gridCol w:w="3795"/>
        <w:gridCol w:w="4082"/>
        <w:gridCol w:w="1644"/>
      </w:tblGrid>
      <w:tr w:rsidR="002157E8" w:rsidTr="002B26DA">
        <w:trPr>
          <w:cnfStyle w:val="100000000000"/>
          <w:trHeight w:val="331"/>
          <w:jc w:val="center"/>
        </w:trPr>
        <w:tc>
          <w:tcPr>
            <w:cnfStyle w:val="001000000000"/>
            <w:tcW w:w="3794" w:type="dxa"/>
            <w:tcBorders>
              <w:bottom w:val="nil"/>
              <w:right w:val="nil"/>
            </w:tcBorders>
            <w:vAlign w:val="center"/>
          </w:tcPr>
          <w:p w:rsidR="002157E8" w:rsidRDefault="002157E8" w:rsidP="002B26DA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  <w:vAlign w:val="center"/>
          </w:tcPr>
          <w:p w:rsidR="002157E8" w:rsidRDefault="002157E8" w:rsidP="002B26D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2157E8" w:rsidRDefault="002157E8" w:rsidP="002B26DA">
            <w:pPr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TARIFA</w:t>
            </w:r>
          </w:p>
        </w:tc>
      </w:tr>
      <w:tr w:rsidR="002157E8" w:rsidTr="002B26DA">
        <w:trPr>
          <w:cnfStyle w:val="000000100000"/>
          <w:trHeight w:val="548"/>
          <w:jc w:val="center"/>
        </w:trPr>
        <w:tc>
          <w:tcPr>
            <w:cnfStyle w:val="001000000000"/>
            <w:tcW w:w="3794" w:type="dxa"/>
            <w:shd w:val="clear" w:color="auto" w:fill="auto"/>
            <w:vAlign w:val="center"/>
          </w:tcPr>
          <w:p w:rsidR="002157E8" w:rsidRDefault="002157E8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2157E8" w:rsidRDefault="002157E8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2157E8" w:rsidRDefault="002157E8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 (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Volendam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)</w:t>
            </w:r>
          </w:p>
          <w:p w:rsidR="002157E8" w:rsidRDefault="002157E8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157E8" w:rsidRPr="00B643C9" w:rsidRDefault="002157E8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2157E8" w:rsidRPr="00B643C9" w:rsidRDefault="002157E8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Cabaret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Paradis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Latin</w:t>
            </w:r>
            <w:proofErr w:type="spellEnd"/>
          </w:p>
          <w:p w:rsidR="002157E8" w:rsidRPr="00B643C9" w:rsidRDefault="002157E8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2157E8" w:rsidRDefault="002157E8" w:rsidP="002B26D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 y Capilla Sixtina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157E8" w:rsidRDefault="002157E8" w:rsidP="002B26DA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US$ 350</w:t>
            </w:r>
          </w:p>
        </w:tc>
      </w:tr>
    </w:tbl>
    <w:p w:rsidR="00BA24A4" w:rsidRDefault="00BA24A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D94352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904B8F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904B8F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94631C" w:rsidRDefault="0094631C" w:rsidP="00EC72C4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94631C" w:rsidRDefault="0094631C" w:rsidP="00EC72C4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EC72C4" w:rsidRPr="0094631C" w:rsidRDefault="00EC72C4" w:rsidP="00EC72C4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94631C">
        <w:rPr>
          <w:b/>
          <w:sz w:val="23"/>
          <w:szCs w:val="23"/>
          <w:u w:val="single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B1097">
        <w:rPr>
          <w:rFonts w:asciiTheme="minorHAnsi" w:hAnsiTheme="minorHAnsi"/>
          <w:b/>
          <w:i/>
          <w:sz w:val="23"/>
          <w:szCs w:val="23"/>
        </w:rPr>
        <w:t>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07 septiembre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08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7635A3" w:rsidRPr="00264ECB" w:rsidRDefault="007635A3" w:rsidP="007635A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3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09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continuación</w:t>
      </w:r>
      <w:r w:rsidR="0094631C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del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10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11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12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7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13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14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94631C" w:rsidRDefault="0094631C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15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16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FB1097" w:rsidRPr="00BA24A4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17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18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19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20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94631C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</w:t>
      </w:r>
    </w:p>
    <w:p w:rsidR="0094631C" w:rsidRDefault="0094631C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todos los tiempos. </w:t>
      </w:r>
      <w:r w:rsidR="00BB2714" w:rsidRPr="00264ECB">
        <w:rPr>
          <w:rFonts w:asciiTheme="minorHAnsi" w:hAnsiTheme="minorHAnsi"/>
          <w:sz w:val="23"/>
          <w:szCs w:val="23"/>
        </w:rPr>
        <w:t>Pasearemos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>por sus calles y plazas como la de la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="00BB2714"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="00BB2714" w:rsidRPr="00264ECB">
        <w:rPr>
          <w:rFonts w:asciiTheme="minorHAnsi" w:hAnsiTheme="minorHAnsi"/>
          <w:sz w:val="23"/>
          <w:szCs w:val="23"/>
        </w:rPr>
        <w:t>, República, el famoso</w:t>
      </w:r>
      <w:r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="00BB2714" w:rsidRPr="00264ECB">
        <w:rPr>
          <w:rFonts w:asciiTheme="minorHAnsi" w:hAnsiTheme="minorHAnsi"/>
          <w:sz w:val="23"/>
          <w:szCs w:val="23"/>
        </w:rPr>
        <w:t>Santa María de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Pr="00264ECB">
        <w:rPr>
          <w:rFonts w:asciiTheme="minorHAnsi" w:hAnsiTheme="minorHAnsi"/>
          <w:sz w:val="23"/>
          <w:szCs w:val="23"/>
        </w:rPr>
        <w:t xml:space="preserve"> </w:t>
      </w:r>
      <w:r w:rsidR="00BB2714"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21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BA24A4" w:rsidRDefault="00BA24A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22 septiembre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 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23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24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FB1097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25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26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94631C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la Basílica de la </w:t>
      </w:r>
    </w:p>
    <w:p w:rsidR="0094631C" w:rsidRDefault="0094631C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27 septiembre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7635A3" w:rsidRPr="00264ECB" w:rsidRDefault="007635A3" w:rsidP="007635A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7635A3" w:rsidRDefault="007635A3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22</w:t>
      </w:r>
      <w:r w:rsidRPr="005E6858">
        <w:rPr>
          <w:rFonts w:asciiTheme="minorHAnsi" w:hAnsiTheme="minorHAnsi"/>
          <w:b/>
          <w:i/>
          <w:sz w:val="23"/>
          <w:szCs w:val="23"/>
        </w:rPr>
        <w:t>º: (</w:t>
      </w:r>
      <w:r>
        <w:rPr>
          <w:rFonts w:asciiTheme="minorHAnsi" w:hAnsiTheme="minorHAnsi"/>
          <w:b/>
          <w:i/>
          <w:sz w:val="23"/>
          <w:szCs w:val="23"/>
        </w:rPr>
        <w:t>Lunes</w:t>
      </w:r>
      <w:r w:rsidR="00477438">
        <w:rPr>
          <w:rFonts w:asciiTheme="minorHAnsi" w:hAnsiTheme="minorHAnsi"/>
          <w:b/>
          <w:i/>
          <w:sz w:val="23"/>
          <w:szCs w:val="23"/>
        </w:rPr>
        <w:t xml:space="preserve"> 28 septiembre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64ECB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</w:t>
      </w:r>
      <w:r w:rsidR="00264ECB" w:rsidRPr="00264ECB">
        <w:rPr>
          <w:rFonts w:asciiTheme="minorHAnsi" w:hAnsiTheme="minorHAnsi"/>
          <w:sz w:val="23"/>
          <w:szCs w:val="23"/>
        </w:rPr>
        <w:t>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360C13" w:rsidRPr="00BA24A4" w:rsidRDefault="00BB2714" w:rsidP="00BA24A4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360C13" w:rsidRDefault="00360C13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FE6B43" w:rsidRPr="00FE6B43" w:rsidRDefault="00FE6B43" w:rsidP="00FE6B43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FE6B43">
        <w:rPr>
          <w:bCs/>
          <w:sz w:val="23"/>
          <w:szCs w:val="23"/>
        </w:rPr>
        <w:t xml:space="preserve">Programa válido para comprar hasta el </w:t>
      </w:r>
      <w:r w:rsidR="001716C4">
        <w:rPr>
          <w:bCs/>
          <w:sz w:val="23"/>
          <w:szCs w:val="23"/>
        </w:rPr>
        <w:t>07</w:t>
      </w:r>
      <w:r w:rsidRPr="00FE6B4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Julio</w:t>
      </w:r>
      <w:r w:rsidRPr="00FE6B43">
        <w:rPr>
          <w:bCs/>
          <w:sz w:val="23"/>
          <w:szCs w:val="23"/>
        </w:rPr>
        <w:t xml:space="preserve"> 2020.</w:t>
      </w:r>
    </w:p>
    <w:p w:rsidR="00FE6B43" w:rsidRPr="00FE6B43" w:rsidRDefault="00FE6B43" w:rsidP="00FE6B43">
      <w:pPr>
        <w:pStyle w:val="Sinespaciado"/>
        <w:numPr>
          <w:ilvl w:val="0"/>
          <w:numId w:val="2"/>
        </w:numPr>
        <w:rPr>
          <w:bCs/>
          <w:color w:val="FF0000"/>
          <w:sz w:val="23"/>
          <w:szCs w:val="23"/>
          <w:highlight w:val="yellow"/>
        </w:rPr>
      </w:pPr>
      <w:r w:rsidRPr="00FE6B43">
        <w:rPr>
          <w:bCs/>
          <w:color w:val="FF0000"/>
          <w:sz w:val="23"/>
          <w:szCs w:val="23"/>
          <w:highlight w:val="yellow"/>
        </w:rPr>
        <w:t xml:space="preserve">Programa </w:t>
      </w:r>
      <w:r w:rsidR="00B840BF">
        <w:rPr>
          <w:bCs/>
          <w:color w:val="FF0000"/>
          <w:sz w:val="23"/>
          <w:szCs w:val="23"/>
          <w:highlight w:val="yellow"/>
        </w:rPr>
        <w:t>requiere de un prepago no reembolsable de US$ 5</w:t>
      </w:r>
      <w:r w:rsidRPr="00FE6B43">
        <w:rPr>
          <w:bCs/>
          <w:color w:val="FF0000"/>
          <w:sz w:val="23"/>
          <w:szCs w:val="23"/>
          <w:highlight w:val="yellow"/>
        </w:rPr>
        <w:t>00 al momento de realizar la reserva.</w:t>
      </w:r>
    </w:p>
    <w:p w:rsidR="00E46D23" w:rsidRPr="00FB1097" w:rsidRDefault="00EC72C4" w:rsidP="00FB109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FE6B43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FE6B43" w:rsidRPr="00E56212" w:rsidRDefault="00FE6B43" w:rsidP="00FE6B43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Los voucher de servicios y aéreos se entregarán 48 horas antes de la salida. </w:t>
      </w:r>
    </w:p>
    <w:p w:rsidR="00FE6B43" w:rsidRPr="00FE6B43" w:rsidRDefault="00FE6B43" w:rsidP="00FE6B43">
      <w:pPr>
        <w:pStyle w:val="Sinespaciado"/>
        <w:numPr>
          <w:ilvl w:val="0"/>
          <w:numId w:val="2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>La lista de hoteles se confirman 48 horas antes de la salida.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FE6B4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</w:t>
      </w:r>
    </w:p>
    <w:p w:rsidR="00FE6B43" w:rsidRDefault="00FE6B43" w:rsidP="00FE6B43">
      <w:pPr>
        <w:pStyle w:val="Prrafodelista"/>
        <w:spacing w:after="0"/>
        <w:jc w:val="both"/>
        <w:rPr>
          <w:bCs/>
          <w:sz w:val="23"/>
          <w:szCs w:val="23"/>
        </w:rPr>
      </w:pPr>
    </w:p>
    <w:p w:rsidR="00FE6B43" w:rsidRDefault="00FE6B43" w:rsidP="00FE6B43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FE6B43" w:rsidRDefault="00EC72C4" w:rsidP="00FE6B43">
      <w:pPr>
        <w:pStyle w:val="Prrafodelista"/>
        <w:spacing w:after="0"/>
        <w:jc w:val="both"/>
        <w:rPr>
          <w:bCs/>
          <w:sz w:val="23"/>
          <w:szCs w:val="23"/>
        </w:rPr>
      </w:pPr>
      <w:proofErr w:type="gramStart"/>
      <w:r w:rsidRPr="005E6858">
        <w:rPr>
          <w:bCs/>
          <w:sz w:val="23"/>
          <w:szCs w:val="23"/>
        </w:rPr>
        <w:t>comunicará</w:t>
      </w:r>
      <w:proofErr w:type="gramEnd"/>
      <w:r w:rsidRPr="005E6858">
        <w:rPr>
          <w:bCs/>
          <w:sz w:val="23"/>
          <w:szCs w:val="23"/>
        </w:rPr>
        <w:t xml:space="preserve"> en el destino final). Si esto no sucediera, el transportista no está en la obligación de esperar o buscar al pasajero y continuará con su ruta programada. Por lo </w:t>
      </w:r>
      <w:r w:rsidRPr="00FE6B43">
        <w:rPr>
          <w:bCs/>
          <w:sz w:val="23"/>
          <w:szCs w:val="23"/>
        </w:rPr>
        <w:t xml:space="preserve">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BA24A4" w:rsidRPr="00FE6B43" w:rsidRDefault="00EC72C4" w:rsidP="00FE6B43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360C13" w:rsidRPr="00447E7A" w:rsidRDefault="00EC72C4" w:rsidP="00447E7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FB1097" w:rsidRPr="00BA24A4" w:rsidRDefault="00EC72C4" w:rsidP="00BA24A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BA24A4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FB1097" w:rsidRDefault="00EC72C4" w:rsidP="00FB109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FB1097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FE6B43">
        <w:rPr>
          <w:bCs/>
          <w:sz w:val="23"/>
          <w:szCs w:val="23"/>
        </w:rPr>
        <w:t>03 Enero 2020</w:t>
      </w:r>
      <w:r w:rsidRPr="005E6858">
        <w:rPr>
          <w:bCs/>
          <w:sz w:val="23"/>
          <w:szCs w:val="23"/>
        </w:rPr>
        <w:t xml:space="preserve">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2C5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34" w:rsidRDefault="002C5F34" w:rsidP="001E3E05">
      <w:pPr>
        <w:spacing w:after="0" w:line="240" w:lineRule="auto"/>
      </w:pPr>
      <w:r>
        <w:separator/>
      </w:r>
    </w:p>
  </w:endnote>
  <w:endnote w:type="continuationSeparator" w:id="0">
    <w:p w:rsidR="002C5F34" w:rsidRDefault="002C5F34" w:rsidP="001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2" w:rsidRDefault="00D943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4" w:rsidRDefault="002C5F34">
    <w:pPr>
      <w:pStyle w:val="Footer"/>
      <w:ind w:left="-142"/>
      <w:jc w:val="center"/>
      <w:rPr>
        <w:sz w:val="20"/>
        <w:szCs w:val="20"/>
      </w:rPr>
    </w:pPr>
  </w:p>
  <w:p w:rsidR="002C5F34" w:rsidRDefault="002C5F3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2C5F34" w:rsidRDefault="002C5F34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Teléfono: 6106020 | Emergencia 24 horas </w:t>
    </w:r>
    <w:r w:rsidR="00D94352">
      <w:rPr>
        <w:sz w:val="20"/>
        <w:szCs w:val="20"/>
      </w:rPr>
      <w:t>974905902</w:t>
    </w:r>
    <w:r>
      <w:rPr>
        <w:sz w:val="20"/>
        <w:szCs w:val="20"/>
      </w:rPr>
      <w:t xml:space="preserve"> // promociones@domireps.com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2" w:rsidRDefault="00D943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34" w:rsidRDefault="002C5F34" w:rsidP="001E3E05">
      <w:pPr>
        <w:spacing w:after="0" w:line="240" w:lineRule="auto"/>
      </w:pPr>
      <w:r>
        <w:separator/>
      </w:r>
    </w:p>
  </w:footnote>
  <w:footnote w:type="continuationSeparator" w:id="0">
    <w:p w:rsidR="002C5F34" w:rsidRDefault="002C5F34" w:rsidP="001E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2" w:rsidRDefault="00D943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4" w:rsidRDefault="002C5F34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2" w:rsidRDefault="00D943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AD4592"/>
    <w:multiLevelType w:val="multilevel"/>
    <w:tmpl w:val="70FE3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BF4B1A"/>
    <w:multiLevelType w:val="multilevel"/>
    <w:tmpl w:val="B6F0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2B47"/>
    <w:rsid w:val="00026BCF"/>
    <w:rsid w:val="000D10AE"/>
    <w:rsid w:val="001716C4"/>
    <w:rsid w:val="001C2B07"/>
    <w:rsid w:val="001E3E05"/>
    <w:rsid w:val="002157E8"/>
    <w:rsid w:val="00256A08"/>
    <w:rsid w:val="00264ECB"/>
    <w:rsid w:val="002C5F34"/>
    <w:rsid w:val="0030780F"/>
    <w:rsid w:val="00360C13"/>
    <w:rsid w:val="003A3B39"/>
    <w:rsid w:val="003D0E35"/>
    <w:rsid w:val="00406D83"/>
    <w:rsid w:val="00447E7A"/>
    <w:rsid w:val="00465F98"/>
    <w:rsid w:val="00477438"/>
    <w:rsid w:val="005E6858"/>
    <w:rsid w:val="0065583E"/>
    <w:rsid w:val="00706376"/>
    <w:rsid w:val="007635A3"/>
    <w:rsid w:val="007B6ADB"/>
    <w:rsid w:val="008E48C0"/>
    <w:rsid w:val="00904B8F"/>
    <w:rsid w:val="00945573"/>
    <w:rsid w:val="0094631C"/>
    <w:rsid w:val="009623EE"/>
    <w:rsid w:val="00984912"/>
    <w:rsid w:val="00AE6D43"/>
    <w:rsid w:val="00B30B60"/>
    <w:rsid w:val="00B840BF"/>
    <w:rsid w:val="00BA24A4"/>
    <w:rsid w:val="00BB2714"/>
    <w:rsid w:val="00BE48F3"/>
    <w:rsid w:val="00CF5BC7"/>
    <w:rsid w:val="00D0570D"/>
    <w:rsid w:val="00D801B2"/>
    <w:rsid w:val="00D9376A"/>
    <w:rsid w:val="00D94352"/>
    <w:rsid w:val="00E46D23"/>
    <w:rsid w:val="00EB13C6"/>
    <w:rsid w:val="00EC72C4"/>
    <w:rsid w:val="00F32A75"/>
    <w:rsid w:val="00FB1097"/>
    <w:rsid w:val="00FC077E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D94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4352"/>
  </w:style>
  <w:style w:type="paragraph" w:styleId="Piedepgina">
    <w:name w:val="footer"/>
    <w:basedOn w:val="Normal"/>
    <w:link w:val="PiedepginaCar1"/>
    <w:uiPriority w:val="99"/>
    <w:semiHidden/>
    <w:unhideWhenUsed/>
    <w:rsid w:val="00D94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438A-83D2-4EE8-9BAF-DB569DEB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2670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17</cp:revision>
  <dcterms:created xsi:type="dcterms:W3CDTF">2019-09-02T23:10:00Z</dcterms:created>
  <dcterms:modified xsi:type="dcterms:W3CDTF">2020-01-31T16:50:00Z</dcterms:modified>
</cp:coreProperties>
</file>