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 xml:space="preserve">Salida del </w:t>
      </w:r>
      <w:r w:rsidR="00FB1097">
        <w:rPr>
          <w:b/>
          <w:i/>
          <w:color w:val="76923C" w:themeColor="accent3" w:themeShade="BF"/>
          <w:sz w:val="24"/>
        </w:rPr>
        <w:t>20 Julio</w:t>
      </w:r>
      <w:r>
        <w:rPr>
          <w:b/>
          <w:i/>
          <w:color w:val="76923C" w:themeColor="accent3" w:themeShade="BF"/>
          <w:sz w:val="24"/>
        </w:rPr>
        <w:t xml:space="preserve"> al </w:t>
      </w:r>
      <w:r w:rsidR="00FB1097">
        <w:rPr>
          <w:b/>
          <w:i/>
          <w:color w:val="76923C" w:themeColor="accent3" w:themeShade="BF"/>
          <w:sz w:val="24"/>
        </w:rPr>
        <w:t>10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FB1097">
        <w:rPr>
          <w:b/>
          <w:i/>
          <w:color w:val="76923C" w:themeColor="accent3" w:themeShade="BF"/>
          <w:sz w:val="24"/>
        </w:rPr>
        <w:t>agosto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EC72C4" w:rsidP="00EC72C4">
      <w:pPr>
        <w:pStyle w:val="Sinespaciado"/>
        <w:jc w:val="center"/>
        <w:rPr>
          <w:b/>
          <w:sz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1436518</wp:posOffset>
            </wp:positionH>
            <wp:positionV relativeFrom="paragraph">
              <wp:posOffset>49146</wp:posOffset>
            </wp:positionV>
            <wp:extent cx="3038681" cy="1244009"/>
            <wp:effectExtent l="190500" t="152400" r="180769" b="127591"/>
            <wp:wrapNone/>
            <wp:docPr id="3" name="Imagen 1" descr="Resultado de imagen para inn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nsb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8" cy="124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Plus Ultra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5D5082" w:rsidRPr="005E6858" w:rsidRDefault="005D5082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Crucero por el 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Tarjeta de asistencia con cobertura para la zona </w:t>
      </w:r>
      <w:r w:rsidR="00FF2D7D">
        <w:rPr>
          <w:sz w:val="23"/>
          <w:szCs w:val="23"/>
          <w:lang w:val="pt-PT"/>
        </w:rPr>
        <w:t>S</w:t>
      </w:r>
      <w:r w:rsidRPr="005E6858">
        <w:rPr>
          <w:sz w:val="23"/>
          <w:szCs w:val="23"/>
          <w:lang w:val="pt-PT"/>
        </w:rPr>
        <w:t>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FF2D7D" w:rsidRPr="005E6858" w:rsidRDefault="00FF2D7D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778" w:type="pct"/>
        <w:jc w:val="center"/>
        <w:tblCellMar>
          <w:left w:w="107" w:type="dxa"/>
        </w:tblCellMar>
        <w:tblLook w:val="04A0"/>
      </w:tblPr>
      <w:tblGrid>
        <w:gridCol w:w="1474"/>
        <w:gridCol w:w="1369"/>
        <w:gridCol w:w="1650"/>
        <w:gridCol w:w="2523"/>
      </w:tblGrid>
      <w:tr w:rsidR="00EC72C4" w:rsidRPr="005E6858" w:rsidTr="00C7559F">
        <w:trPr>
          <w:cnfStyle w:val="100000000000"/>
          <w:trHeight w:val="335"/>
          <w:jc w:val="center"/>
        </w:trPr>
        <w:tc>
          <w:tcPr>
            <w:cnfStyle w:val="001000000000"/>
            <w:tcW w:w="1443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FF2D7D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FF2D7D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548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FF2D7D">
        <w:trPr>
          <w:cnfStyle w:val="000000100000"/>
          <w:trHeight w:val="547"/>
          <w:jc w:val="center"/>
        </w:trPr>
        <w:tc>
          <w:tcPr>
            <w:cnfStyle w:val="001000000000"/>
            <w:tcW w:w="1443" w:type="dxa"/>
            <w:shd w:val="clear" w:color="auto" w:fill="auto"/>
            <w:vAlign w:val="center"/>
          </w:tcPr>
          <w:p w:rsidR="00EC72C4" w:rsidRPr="005E6858" w:rsidRDefault="001651F6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Julio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C72C4" w:rsidRPr="005E6858" w:rsidRDefault="00FF2D7D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4,599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FF2D7D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FF2D7D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3,499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C72C4" w:rsidRPr="005E6858" w:rsidRDefault="001651F6" w:rsidP="001651F6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20 Julio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agosto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FF2D7D" w:rsidRPr="005E6858" w:rsidRDefault="00FF2D7D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442" w:type="pct"/>
        <w:jc w:val="center"/>
        <w:tblLook w:val="04A0"/>
      </w:tblPr>
      <w:tblGrid>
        <w:gridCol w:w="1425"/>
        <w:gridCol w:w="1208"/>
        <w:gridCol w:w="1283"/>
        <w:gridCol w:w="1064"/>
        <w:gridCol w:w="1065"/>
        <w:gridCol w:w="908"/>
        <w:gridCol w:w="1063"/>
        <w:gridCol w:w="234"/>
      </w:tblGrid>
      <w:tr w:rsidR="00EC72C4" w:rsidRPr="005E6858" w:rsidTr="00C7559F">
        <w:trPr>
          <w:cnfStyle w:val="100000000000"/>
          <w:trHeight w:val="318"/>
          <w:jc w:val="center"/>
        </w:trPr>
        <w:tc>
          <w:tcPr>
            <w:cnfStyle w:val="001000000000"/>
            <w:tcW w:w="1424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283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297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C7559F">
        <w:trPr>
          <w:cnfStyle w:val="000000100000"/>
          <w:trHeight w:val="542"/>
          <w:jc w:val="center"/>
        </w:trPr>
        <w:tc>
          <w:tcPr>
            <w:cnfStyle w:val="001000000000"/>
            <w:tcW w:w="1424" w:type="dxa"/>
            <w:vMerge w:val="restart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PLUS ULTRA</w:t>
            </w: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302</w:t>
            </w:r>
          </w:p>
        </w:tc>
        <w:tc>
          <w:tcPr>
            <w:tcW w:w="1283" w:type="dxa"/>
            <w:vAlign w:val="center"/>
          </w:tcPr>
          <w:p w:rsidR="00EC72C4" w:rsidRPr="005E6858" w:rsidRDefault="00FB1097" w:rsidP="00FB1097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20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Jul</w:t>
            </w:r>
            <w:r w:rsidR="00C7559F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io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19:30</w:t>
            </w:r>
          </w:p>
        </w:tc>
        <w:tc>
          <w:tcPr>
            <w:tcW w:w="1063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13:40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C7559F">
        <w:trPr>
          <w:trHeight w:val="551"/>
          <w:jc w:val="center"/>
        </w:trPr>
        <w:tc>
          <w:tcPr>
            <w:cnfStyle w:val="001000000000"/>
            <w:tcW w:w="1424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301</w:t>
            </w:r>
          </w:p>
        </w:tc>
        <w:tc>
          <w:tcPr>
            <w:tcW w:w="1283" w:type="dxa"/>
            <w:vAlign w:val="center"/>
          </w:tcPr>
          <w:p w:rsidR="00EC72C4" w:rsidRPr="005E6858" w:rsidRDefault="00FB1097" w:rsidP="00FB1097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10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Ago</w:t>
            </w:r>
            <w:r w:rsidR="00C7559F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sto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11:00</w:t>
            </w:r>
          </w:p>
        </w:tc>
        <w:tc>
          <w:tcPr>
            <w:tcW w:w="1063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17:15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C7559F" w:rsidRDefault="00C7559F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0334DA" w:rsidRPr="000334DA" w:rsidRDefault="000334DA" w:rsidP="000334D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0334DA">
        <w:rPr>
          <w:rFonts w:cs="Calibri"/>
          <w:b/>
          <w:bCs/>
          <w:sz w:val="23"/>
          <w:szCs w:val="23"/>
          <w:u w:val="single"/>
        </w:rPr>
        <w:lastRenderedPageBreak/>
        <w:t>PAQUETE ESPECIAL:</w:t>
      </w:r>
    </w:p>
    <w:p w:rsidR="000334DA" w:rsidRPr="000334DA" w:rsidRDefault="000334DA" w:rsidP="000334DA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564" w:type="pct"/>
        <w:jc w:val="center"/>
        <w:tblCellMar>
          <w:left w:w="107" w:type="dxa"/>
        </w:tblCellMar>
        <w:tblLook w:val="04A0"/>
      </w:tblPr>
      <w:tblGrid>
        <w:gridCol w:w="3343"/>
        <w:gridCol w:w="3481"/>
        <w:gridCol w:w="1651"/>
      </w:tblGrid>
      <w:tr w:rsidR="000334DA" w:rsidRPr="000334DA" w:rsidTr="00836298">
        <w:trPr>
          <w:cnfStyle w:val="100000000000"/>
          <w:trHeight w:val="331"/>
          <w:jc w:val="center"/>
        </w:trPr>
        <w:tc>
          <w:tcPr>
            <w:cnfStyle w:val="001000000000"/>
            <w:tcW w:w="3343" w:type="dxa"/>
            <w:tcBorders>
              <w:bottom w:val="nil"/>
              <w:right w:val="nil"/>
            </w:tcBorders>
            <w:vAlign w:val="center"/>
          </w:tcPr>
          <w:p w:rsidR="000334DA" w:rsidRPr="000334DA" w:rsidRDefault="000334DA" w:rsidP="00836298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3481" w:type="dxa"/>
            <w:tcBorders>
              <w:left w:val="nil"/>
              <w:bottom w:val="nil"/>
              <w:right w:val="nil"/>
            </w:tcBorders>
            <w:vAlign w:val="center"/>
          </w:tcPr>
          <w:p w:rsidR="000334DA" w:rsidRPr="000334DA" w:rsidRDefault="000334DA" w:rsidP="00836298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0334DA" w:rsidRPr="000334DA" w:rsidRDefault="000334DA" w:rsidP="00836298">
            <w:pPr>
              <w:jc w:val="center"/>
              <w:cnfStyle w:val="100000000000"/>
              <w:rPr>
                <w:sz w:val="23"/>
                <w:szCs w:val="23"/>
              </w:rPr>
            </w:pPr>
            <w:r w:rsidRPr="000334DA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TARIFA</w:t>
            </w:r>
          </w:p>
        </w:tc>
      </w:tr>
      <w:tr w:rsidR="000334DA" w:rsidRPr="000334DA" w:rsidTr="00836298">
        <w:trPr>
          <w:cnfStyle w:val="000000100000"/>
          <w:trHeight w:val="548"/>
          <w:jc w:val="center"/>
        </w:trPr>
        <w:tc>
          <w:tcPr>
            <w:cnfStyle w:val="001000000000"/>
            <w:tcW w:w="3343" w:type="dxa"/>
            <w:shd w:val="clear" w:color="auto" w:fill="auto"/>
            <w:vAlign w:val="center"/>
          </w:tcPr>
          <w:p w:rsidR="000334DA" w:rsidRPr="000334DA" w:rsidRDefault="000334D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0334DA" w:rsidRPr="000334DA" w:rsidRDefault="000334D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0334DA" w:rsidRPr="000334DA" w:rsidRDefault="000334D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</w:t>
            </w:r>
          </w:p>
          <w:p w:rsidR="000334DA" w:rsidRPr="000334DA" w:rsidRDefault="000334DA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0334DA" w:rsidRPr="000334DA" w:rsidRDefault="000334D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0334DA" w:rsidRPr="000334DA" w:rsidRDefault="000334D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Montmartre</w:t>
            </w:r>
            <w:proofErr w:type="spellEnd"/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barrio Latino</w:t>
            </w:r>
          </w:p>
          <w:p w:rsidR="000334DA" w:rsidRPr="000334DA" w:rsidRDefault="000334DA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0334DA" w:rsidRPr="000334DA" w:rsidRDefault="000334DA" w:rsidP="00836298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0334DA" w:rsidRPr="000334DA" w:rsidRDefault="000334DA" w:rsidP="00836298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0334DA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US$ 420</w:t>
            </w:r>
          </w:p>
        </w:tc>
      </w:tr>
    </w:tbl>
    <w:p w:rsidR="000334DA" w:rsidRDefault="000334DA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317A83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1651F6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1651F6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EC72C4" w:rsidRDefault="00EC72C4" w:rsidP="00EC72C4">
      <w:pPr>
        <w:spacing w:after="0" w:line="240" w:lineRule="auto"/>
        <w:jc w:val="both"/>
        <w:rPr>
          <w:b/>
          <w:u w:val="single"/>
        </w:rPr>
      </w:pPr>
      <w:r w:rsidRPr="00FF2D7D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FB1097">
        <w:rPr>
          <w:rFonts w:asciiTheme="minorHAnsi" w:hAnsiTheme="minorHAnsi"/>
          <w:b/>
          <w:i/>
          <w:sz w:val="23"/>
          <w:szCs w:val="23"/>
        </w:rPr>
        <w:t>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20 julio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21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17A83" w:rsidRPr="00264ECB" w:rsidRDefault="00317A83" w:rsidP="00317A8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3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22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0334DA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0334DA" w:rsidRDefault="000334D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334DA" w:rsidRDefault="000334D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23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24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25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7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26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27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28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29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30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31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01 agosto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02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03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334DA" w:rsidRDefault="000334DA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04 agosto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 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05 agosto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06 agosto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FB1097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07 agosto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08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09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17A83" w:rsidRPr="00264ECB" w:rsidRDefault="00317A83" w:rsidP="00317A8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FB1097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lastRenderedPageBreak/>
        <w:t>Día 22</w:t>
      </w:r>
      <w:r w:rsidRPr="005E6858">
        <w:rPr>
          <w:rFonts w:asciiTheme="minorHAnsi" w:hAnsiTheme="minorHAnsi"/>
          <w:b/>
          <w:i/>
          <w:sz w:val="23"/>
          <w:szCs w:val="23"/>
        </w:rPr>
        <w:t>º: (</w:t>
      </w:r>
      <w:r>
        <w:rPr>
          <w:rFonts w:asciiTheme="minorHAnsi" w:hAnsiTheme="minorHAnsi"/>
          <w:b/>
          <w:i/>
          <w:sz w:val="23"/>
          <w:szCs w:val="23"/>
        </w:rPr>
        <w:t>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10 agosto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64ECB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</w:t>
      </w:r>
      <w:r w:rsidR="00264ECB" w:rsidRPr="00264ECB">
        <w:rPr>
          <w:rFonts w:asciiTheme="minorHAnsi" w:hAnsiTheme="minorHAnsi"/>
          <w:sz w:val="23"/>
          <w:szCs w:val="23"/>
        </w:rPr>
        <w:t>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C72C4" w:rsidRPr="005E6858" w:rsidRDefault="00BB2714" w:rsidP="005E6858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C51B42" w:rsidRDefault="00C51B42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Programa válido para comprar hasta el </w:t>
      </w:r>
      <w:r w:rsidR="00940FD8">
        <w:rPr>
          <w:bCs/>
          <w:sz w:val="23"/>
          <w:szCs w:val="23"/>
        </w:rPr>
        <w:t>20</w:t>
      </w:r>
      <w:r w:rsidRPr="005E6858">
        <w:rPr>
          <w:bCs/>
          <w:sz w:val="23"/>
          <w:szCs w:val="23"/>
        </w:rPr>
        <w:t xml:space="preserve"> </w:t>
      </w:r>
      <w:r w:rsidR="00C51B42">
        <w:rPr>
          <w:bCs/>
          <w:sz w:val="23"/>
          <w:szCs w:val="23"/>
        </w:rPr>
        <w:t>diciem</w:t>
      </w:r>
      <w:r w:rsidRPr="005E6858">
        <w:rPr>
          <w:bCs/>
          <w:sz w:val="23"/>
          <w:szCs w:val="23"/>
        </w:rPr>
        <w:t>bre 2019.</w:t>
      </w:r>
    </w:p>
    <w:p w:rsidR="00C51B42" w:rsidRPr="009E0EDB" w:rsidRDefault="00C51B42" w:rsidP="00C51B42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>Programa requiere de 1°</w:t>
      </w:r>
      <w:r w:rsidRPr="005E6858">
        <w:rPr>
          <w:bCs/>
          <w:color w:val="FF0000"/>
          <w:sz w:val="23"/>
          <w:szCs w:val="23"/>
          <w:highlight w:val="yellow"/>
        </w:rPr>
        <w:t xml:space="preserve"> prepago de US$ </w:t>
      </w:r>
      <w:r>
        <w:rPr>
          <w:bCs/>
          <w:color w:val="FF0000"/>
          <w:sz w:val="23"/>
          <w:szCs w:val="23"/>
          <w:highlight w:val="yellow"/>
        </w:rPr>
        <w:t>5</w:t>
      </w:r>
      <w:r w:rsidRPr="005E6858">
        <w:rPr>
          <w:bCs/>
          <w:color w:val="FF0000"/>
          <w:sz w:val="23"/>
          <w:szCs w:val="23"/>
          <w:highlight w:val="yellow"/>
        </w:rPr>
        <w:t>00.00</w:t>
      </w:r>
      <w:r>
        <w:rPr>
          <w:bCs/>
          <w:color w:val="FF0000"/>
          <w:sz w:val="23"/>
          <w:szCs w:val="23"/>
          <w:highlight w:val="yellow"/>
        </w:rPr>
        <w:t xml:space="preserve"> hasta el </w:t>
      </w:r>
      <w:r w:rsidR="00940FD8">
        <w:rPr>
          <w:bCs/>
          <w:color w:val="FF0000"/>
          <w:sz w:val="23"/>
          <w:szCs w:val="23"/>
          <w:highlight w:val="yellow"/>
        </w:rPr>
        <w:t>20</w:t>
      </w:r>
      <w:r>
        <w:rPr>
          <w:bCs/>
          <w:color w:val="FF0000"/>
          <w:sz w:val="23"/>
          <w:szCs w:val="23"/>
          <w:highlight w:val="yellow"/>
        </w:rPr>
        <w:t xml:space="preserve"> diciembre 2019 y 2° prepago hasta el </w:t>
      </w:r>
      <w:r w:rsidR="00940FD8">
        <w:rPr>
          <w:bCs/>
          <w:color w:val="FF0000"/>
          <w:sz w:val="23"/>
          <w:szCs w:val="23"/>
          <w:highlight w:val="yellow"/>
        </w:rPr>
        <w:t>20</w:t>
      </w:r>
      <w:r>
        <w:rPr>
          <w:bCs/>
          <w:color w:val="FF0000"/>
          <w:sz w:val="23"/>
          <w:szCs w:val="23"/>
          <w:highlight w:val="yellow"/>
        </w:rPr>
        <w:t xml:space="preserve"> enero 2020</w:t>
      </w:r>
      <w:r w:rsidRPr="005E6858">
        <w:rPr>
          <w:bCs/>
          <w:color w:val="FF0000"/>
          <w:sz w:val="23"/>
          <w:szCs w:val="23"/>
          <w:highlight w:val="yellow"/>
        </w:rPr>
        <w:t xml:space="preserve"> no reembolsable al </w:t>
      </w:r>
      <w:r>
        <w:rPr>
          <w:bCs/>
          <w:color w:val="FF0000"/>
          <w:sz w:val="23"/>
          <w:szCs w:val="23"/>
          <w:highlight w:val="yellow"/>
        </w:rPr>
        <w:t>momento de solicitar la reserva. Resto del pago 45 días antes de la salida.</w:t>
      </w:r>
    </w:p>
    <w:p w:rsidR="00E46D23" w:rsidRPr="00FB1097" w:rsidRDefault="00EC72C4" w:rsidP="00FB1097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5E6858" w:rsidRDefault="00EC72C4" w:rsidP="00EC72C4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E6858"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 w:rsidRPr="005E6858">
        <w:rPr>
          <w:rFonts w:eastAsia="Calibri" w:cs="Times New Roman"/>
          <w:bCs/>
          <w:sz w:val="23"/>
          <w:szCs w:val="23"/>
        </w:rPr>
        <w:t>Queue</w:t>
      </w:r>
      <w:proofErr w:type="spellEnd"/>
      <w:r w:rsidRPr="005E6858"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E46D23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EC72C4" w:rsidRDefault="00EC72C4" w:rsidP="00EC72C4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0334DA" w:rsidRPr="005E6858" w:rsidRDefault="000334DA" w:rsidP="000334DA">
      <w:pPr>
        <w:pStyle w:val="Sinespaciado"/>
        <w:spacing w:line="276" w:lineRule="auto"/>
        <w:ind w:left="720"/>
        <w:jc w:val="both"/>
        <w:rPr>
          <w:bCs/>
          <w:sz w:val="23"/>
          <w:szCs w:val="23"/>
        </w:rPr>
      </w:pPr>
    </w:p>
    <w:p w:rsidR="00C51B42" w:rsidRPr="004447DC" w:rsidRDefault="00EC72C4" w:rsidP="004447DC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FB1097" w:rsidRPr="000334DA" w:rsidRDefault="00EC72C4" w:rsidP="000334D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</w:t>
      </w:r>
      <w:r w:rsidRPr="000334DA">
        <w:rPr>
          <w:bCs/>
          <w:sz w:val="23"/>
          <w:szCs w:val="23"/>
        </w:rPr>
        <w:t xml:space="preserve">contar con el pasaporte vigente con un mínimo de 6 meses posterior a la fecha de retorno. </w:t>
      </w:r>
    </w:p>
    <w:p w:rsidR="00EC72C4" w:rsidRPr="00FB1097" w:rsidRDefault="00EC72C4" w:rsidP="00FB1097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</w:t>
      </w:r>
      <w:r w:rsidRPr="00FB1097">
        <w:rPr>
          <w:bCs/>
          <w:sz w:val="23"/>
          <w:szCs w:val="23"/>
        </w:rPr>
        <w:t xml:space="preserve">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FF2D7D">
        <w:rPr>
          <w:bCs/>
          <w:sz w:val="23"/>
          <w:szCs w:val="23"/>
        </w:rPr>
        <w:t>04</w:t>
      </w:r>
      <w:r w:rsidRPr="005E6858">
        <w:rPr>
          <w:bCs/>
          <w:sz w:val="23"/>
          <w:szCs w:val="23"/>
        </w:rPr>
        <w:t xml:space="preserve"> </w:t>
      </w:r>
      <w:r w:rsidR="00E46D23">
        <w:rPr>
          <w:bCs/>
          <w:sz w:val="23"/>
          <w:szCs w:val="23"/>
        </w:rPr>
        <w:t>septiembre</w:t>
      </w:r>
      <w:r w:rsidRPr="005E6858">
        <w:rPr>
          <w:bCs/>
          <w:sz w:val="23"/>
          <w:szCs w:val="23"/>
        </w:rPr>
        <w:t xml:space="preserve"> 2019.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27" w:rsidRDefault="00264527" w:rsidP="00A706A1">
      <w:pPr>
        <w:spacing w:after="0" w:line="240" w:lineRule="auto"/>
      </w:pPr>
      <w:r>
        <w:separator/>
      </w:r>
    </w:p>
  </w:endnote>
  <w:endnote w:type="continuationSeparator" w:id="0">
    <w:p w:rsidR="00264527" w:rsidRDefault="00264527" w:rsidP="00A7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317A83">
    <w:pPr>
      <w:pStyle w:val="Footer"/>
      <w:ind w:left="-142"/>
      <w:jc w:val="center"/>
      <w:rPr>
        <w:sz w:val="20"/>
        <w:szCs w:val="20"/>
      </w:rPr>
    </w:pPr>
  </w:p>
  <w:p w:rsidR="00521B0B" w:rsidRDefault="00FB109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FB1097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27" w:rsidRDefault="00264527" w:rsidP="00A706A1">
      <w:pPr>
        <w:spacing w:after="0" w:line="240" w:lineRule="auto"/>
      </w:pPr>
      <w:r>
        <w:separator/>
      </w:r>
    </w:p>
  </w:footnote>
  <w:footnote w:type="continuationSeparator" w:id="0">
    <w:p w:rsidR="00264527" w:rsidRDefault="00264527" w:rsidP="00A7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FB1097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6BCF"/>
    <w:rsid w:val="000334DA"/>
    <w:rsid w:val="001651F6"/>
    <w:rsid w:val="0017690A"/>
    <w:rsid w:val="00264527"/>
    <w:rsid w:val="00264ECB"/>
    <w:rsid w:val="00317A83"/>
    <w:rsid w:val="00343C69"/>
    <w:rsid w:val="003714B7"/>
    <w:rsid w:val="00404A5E"/>
    <w:rsid w:val="004447DC"/>
    <w:rsid w:val="004F4631"/>
    <w:rsid w:val="005D5082"/>
    <w:rsid w:val="005E6858"/>
    <w:rsid w:val="00940FD8"/>
    <w:rsid w:val="00961941"/>
    <w:rsid w:val="009623EE"/>
    <w:rsid w:val="00A40E15"/>
    <w:rsid w:val="00A706A1"/>
    <w:rsid w:val="00AB39EF"/>
    <w:rsid w:val="00B37C4C"/>
    <w:rsid w:val="00BB2714"/>
    <w:rsid w:val="00C46688"/>
    <w:rsid w:val="00C51B42"/>
    <w:rsid w:val="00C7559F"/>
    <w:rsid w:val="00D0570D"/>
    <w:rsid w:val="00D3518A"/>
    <w:rsid w:val="00D71F4E"/>
    <w:rsid w:val="00D801B2"/>
    <w:rsid w:val="00D9376A"/>
    <w:rsid w:val="00E21256"/>
    <w:rsid w:val="00E46D23"/>
    <w:rsid w:val="00EB13C6"/>
    <w:rsid w:val="00EC72C4"/>
    <w:rsid w:val="00F32A75"/>
    <w:rsid w:val="00F3650A"/>
    <w:rsid w:val="00FB1097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2609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14</cp:revision>
  <dcterms:created xsi:type="dcterms:W3CDTF">2019-09-02T23:02:00Z</dcterms:created>
  <dcterms:modified xsi:type="dcterms:W3CDTF">2019-11-05T15:44:00Z</dcterms:modified>
</cp:coreProperties>
</file>